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18" w:rsidRPr="00D70320" w:rsidRDefault="006E5518" w:rsidP="006E5518">
      <w:pPr>
        <w:spacing w:after="0" w:line="240" w:lineRule="auto"/>
        <w:jc w:val="center"/>
        <w:rPr>
          <w:rFonts w:eastAsia="Times New Roman" w:cs="Times New Roman"/>
          <w:sz w:val="28"/>
          <w:szCs w:val="24"/>
          <w:lang w:eastAsia="en-GB"/>
        </w:rPr>
      </w:pPr>
      <w:r w:rsidRPr="00D70320">
        <w:rPr>
          <w:rFonts w:eastAsia="Times New Roman" w:cs="Times New Roman"/>
          <w:bCs/>
          <w:sz w:val="28"/>
          <w:szCs w:val="24"/>
          <w:lang w:eastAsia="en-GB"/>
        </w:rPr>
        <w:t xml:space="preserve">Lancashire Autism Partnership Board </w:t>
      </w:r>
    </w:p>
    <w:p w:rsidR="006E5518" w:rsidRPr="00D70320" w:rsidRDefault="006E5518" w:rsidP="006E5518">
      <w:pPr>
        <w:spacing w:after="0" w:line="240" w:lineRule="auto"/>
        <w:jc w:val="center"/>
        <w:rPr>
          <w:rFonts w:eastAsia="Times New Roman" w:cs="Times New Roman"/>
          <w:bCs/>
          <w:sz w:val="28"/>
          <w:szCs w:val="24"/>
          <w:lang w:eastAsia="en-GB"/>
        </w:rPr>
      </w:pPr>
      <w:r w:rsidRPr="00D70320">
        <w:rPr>
          <w:rFonts w:eastAsia="Times New Roman" w:cs="Times New Roman"/>
          <w:bCs/>
          <w:sz w:val="28"/>
          <w:szCs w:val="24"/>
          <w:lang w:eastAsia="en-GB"/>
        </w:rPr>
        <w:t>Thursday 27</w:t>
      </w:r>
      <w:r w:rsidRPr="00D70320">
        <w:rPr>
          <w:rFonts w:eastAsia="Times New Roman" w:cs="Times New Roman"/>
          <w:bCs/>
          <w:sz w:val="28"/>
          <w:szCs w:val="24"/>
          <w:vertAlign w:val="superscript"/>
          <w:lang w:eastAsia="en-GB"/>
        </w:rPr>
        <w:t>th</w:t>
      </w:r>
      <w:r w:rsidRPr="00D70320">
        <w:rPr>
          <w:rFonts w:eastAsia="Times New Roman" w:cs="Times New Roman"/>
          <w:bCs/>
          <w:sz w:val="28"/>
          <w:szCs w:val="24"/>
          <w:lang w:eastAsia="en-GB"/>
        </w:rPr>
        <w:t xml:space="preserve"> March 2018</w:t>
      </w:r>
    </w:p>
    <w:p w:rsidR="006E5518" w:rsidRPr="00D70320" w:rsidRDefault="006E5518" w:rsidP="006E5518">
      <w:pPr>
        <w:spacing w:after="0" w:line="240" w:lineRule="auto"/>
        <w:jc w:val="center"/>
        <w:rPr>
          <w:rFonts w:eastAsia="Times New Roman" w:cs="Times New Roman"/>
          <w:bCs/>
          <w:sz w:val="28"/>
          <w:szCs w:val="24"/>
          <w:lang w:eastAsia="en-GB"/>
        </w:rPr>
      </w:pPr>
      <w:r w:rsidRPr="00D70320">
        <w:rPr>
          <w:rFonts w:eastAsia="Times New Roman" w:cs="Times New Roman"/>
          <w:bCs/>
          <w:sz w:val="28"/>
          <w:szCs w:val="24"/>
          <w:lang w:eastAsia="en-GB"/>
        </w:rPr>
        <w:t>10:00-12:30 pm</w:t>
      </w:r>
    </w:p>
    <w:p w:rsidR="006E5518" w:rsidRPr="00D70320" w:rsidRDefault="006E5518" w:rsidP="006E5518">
      <w:pPr>
        <w:spacing w:after="0" w:line="240" w:lineRule="auto"/>
        <w:jc w:val="center"/>
        <w:rPr>
          <w:rFonts w:eastAsia="Times New Roman" w:cs="Times New Roman"/>
          <w:bCs/>
          <w:sz w:val="28"/>
          <w:szCs w:val="24"/>
          <w:lang w:eastAsia="en-GB"/>
        </w:rPr>
      </w:pPr>
      <w:r w:rsidRPr="00D70320">
        <w:rPr>
          <w:rFonts w:eastAsia="Times New Roman" w:cs="Times New Roman"/>
          <w:bCs/>
          <w:sz w:val="28"/>
          <w:szCs w:val="24"/>
          <w:lang w:eastAsia="en-GB"/>
        </w:rPr>
        <w:t xml:space="preserve"> County Mess, County Hall, Preston</w:t>
      </w:r>
    </w:p>
    <w:p w:rsidR="00D70320" w:rsidRPr="00D70320" w:rsidRDefault="00D70320" w:rsidP="006E5518">
      <w:pPr>
        <w:spacing w:after="0" w:line="240" w:lineRule="auto"/>
        <w:jc w:val="center"/>
        <w:rPr>
          <w:rFonts w:eastAsia="Times New Roman" w:cs="Times New Roman"/>
          <w:sz w:val="24"/>
          <w:szCs w:val="24"/>
          <w:lang w:eastAsia="en-GB"/>
        </w:rPr>
      </w:pPr>
    </w:p>
    <w:p w:rsidR="006E5518" w:rsidRPr="00D70320" w:rsidRDefault="006E5518" w:rsidP="006E5518">
      <w:pPr>
        <w:rPr>
          <w:sz w:val="24"/>
          <w:szCs w:val="24"/>
        </w:rPr>
      </w:pPr>
      <w:r w:rsidRPr="00B9559B">
        <w:rPr>
          <w:sz w:val="26"/>
          <w:szCs w:val="26"/>
          <w:u w:val="single"/>
        </w:rPr>
        <w:t>Attendees:</w:t>
      </w:r>
      <w:r w:rsidRPr="00D70320">
        <w:rPr>
          <w:sz w:val="24"/>
          <w:szCs w:val="24"/>
          <w:u w:val="single"/>
        </w:rPr>
        <w:t xml:space="preserve"> </w:t>
      </w:r>
      <w:r w:rsidR="00CD448C" w:rsidRPr="00D70320">
        <w:rPr>
          <w:sz w:val="24"/>
          <w:szCs w:val="24"/>
        </w:rPr>
        <w:t xml:space="preserve">Kizzy Felstead, Jo Bebbington, Ellen Smith, David Middleton, Pam Smith,  Rob Grigorjevs, Victoria Wilson.  </w:t>
      </w:r>
    </w:p>
    <w:p w:rsidR="006E5518" w:rsidRPr="00D70320" w:rsidRDefault="006E5518" w:rsidP="006E5518">
      <w:pPr>
        <w:rPr>
          <w:sz w:val="24"/>
          <w:szCs w:val="24"/>
        </w:rPr>
      </w:pPr>
      <w:r w:rsidRPr="00B9559B">
        <w:rPr>
          <w:sz w:val="26"/>
          <w:szCs w:val="26"/>
          <w:u w:val="single"/>
        </w:rPr>
        <w:t>Apologies:</w:t>
      </w:r>
      <w:r w:rsidRPr="00D70320">
        <w:rPr>
          <w:sz w:val="24"/>
          <w:szCs w:val="24"/>
          <w:u w:val="single"/>
        </w:rPr>
        <w:t xml:space="preserve"> </w:t>
      </w:r>
      <w:r w:rsidR="00CD448C" w:rsidRPr="00D70320">
        <w:rPr>
          <w:sz w:val="24"/>
          <w:szCs w:val="24"/>
        </w:rPr>
        <w:t xml:space="preserve">Ali Wilson, Sue Austen, Ju Richmond, Helen </w:t>
      </w:r>
      <w:r w:rsidR="00CD448C" w:rsidRPr="0077008F">
        <w:rPr>
          <w:sz w:val="24"/>
          <w:szCs w:val="24"/>
        </w:rPr>
        <w:t>Hughes, Sue Ti</w:t>
      </w:r>
      <w:r w:rsidR="00DE0AEB" w:rsidRPr="0077008F">
        <w:rPr>
          <w:sz w:val="24"/>
          <w:szCs w:val="24"/>
        </w:rPr>
        <w:t>t</w:t>
      </w:r>
      <w:r w:rsidR="00CD448C" w:rsidRPr="0077008F">
        <w:rPr>
          <w:sz w:val="24"/>
          <w:szCs w:val="24"/>
        </w:rPr>
        <w:t>terington,</w:t>
      </w:r>
      <w:r w:rsidR="00CD448C" w:rsidRPr="00D70320">
        <w:rPr>
          <w:sz w:val="24"/>
          <w:szCs w:val="24"/>
        </w:rPr>
        <w:t xml:space="preserve"> Liz monks, Niel Wilcocks.  </w:t>
      </w:r>
    </w:p>
    <w:p w:rsidR="00B434FF" w:rsidRPr="00D70320" w:rsidRDefault="006A4218">
      <w:pPr>
        <w:rPr>
          <w:sz w:val="24"/>
          <w:szCs w:val="24"/>
        </w:rPr>
      </w:pPr>
      <w:r w:rsidRPr="00D70320">
        <w:rPr>
          <w:sz w:val="24"/>
          <w:szCs w:val="24"/>
        </w:rPr>
        <w:t xml:space="preserve">The action log was agreed as an accurate record however members of the board felt that it should contain a completed section so that members who cannot attend the board and the general public who can view it on the website know what has been completed and what actions have been taken.  </w:t>
      </w:r>
    </w:p>
    <w:p w:rsidR="006A4218" w:rsidRPr="00D70320" w:rsidRDefault="006A4218">
      <w:pPr>
        <w:rPr>
          <w:sz w:val="24"/>
          <w:szCs w:val="24"/>
        </w:rPr>
      </w:pPr>
      <w:r w:rsidRPr="00D70320">
        <w:rPr>
          <w:color w:val="FF0000"/>
          <w:sz w:val="24"/>
          <w:szCs w:val="24"/>
        </w:rPr>
        <w:t xml:space="preserve">Victoria- </w:t>
      </w:r>
      <w:r w:rsidRPr="00D70320">
        <w:rPr>
          <w:sz w:val="24"/>
          <w:szCs w:val="24"/>
        </w:rPr>
        <w:t xml:space="preserve">To amend the log accordingly with a completed column next to the actions and the responsible individual. </w:t>
      </w:r>
    </w:p>
    <w:p w:rsidR="006A4218" w:rsidRPr="00D70320" w:rsidRDefault="006A4218">
      <w:pPr>
        <w:rPr>
          <w:sz w:val="24"/>
          <w:szCs w:val="24"/>
        </w:rPr>
      </w:pPr>
      <w:r w:rsidRPr="00D70320">
        <w:rPr>
          <w:sz w:val="24"/>
          <w:szCs w:val="24"/>
        </w:rPr>
        <w:t xml:space="preserve">Members also raised that they thought the lack of minutes was an issue.  They felt that the action log wasn’t enough on its own.  They felt that when there is </w:t>
      </w:r>
      <w:r w:rsidR="009F127B" w:rsidRPr="00D70320">
        <w:rPr>
          <w:sz w:val="24"/>
          <w:szCs w:val="24"/>
        </w:rPr>
        <w:t>meaningful</w:t>
      </w:r>
      <w:r w:rsidRPr="00D70320">
        <w:rPr>
          <w:sz w:val="24"/>
          <w:szCs w:val="24"/>
        </w:rPr>
        <w:t xml:space="preserve"> discussions that everyone should </w:t>
      </w:r>
      <w:r w:rsidR="009F127B" w:rsidRPr="00D70320">
        <w:rPr>
          <w:sz w:val="24"/>
          <w:szCs w:val="24"/>
        </w:rPr>
        <w:t>at least</w:t>
      </w:r>
      <w:r w:rsidRPr="00D70320">
        <w:rPr>
          <w:sz w:val="24"/>
          <w:szCs w:val="24"/>
        </w:rPr>
        <w:t xml:space="preserve"> be aware of them.  </w:t>
      </w:r>
    </w:p>
    <w:p w:rsidR="006A4218" w:rsidRPr="00D70320" w:rsidRDefault="006A4218">
      <w:pPr>
        <w:rPr>
          <w:sz w:val="24"/>
          <w:szCs w:val="24"/>
        </w:rPr>
      </w:pPr>
      <w:r w:rsidRPr="00D70320">
        <w:rPr>
          <w:color w:val="FF0000"/>
          <w:sz w:val="24"/>
          <w:szCs w:val="24"/>
        </w:rPr>
        <w:t xml:space="preserve">Victoria </w:t>
      </w:r>
      <w:r w:rsidR="00EF1EF3" w:rsidRPr="00D70320">
        <w:rPr>
          <w:color w:val="FF0000"/>
          <w:sz w:val="24"/>
          <w:szCs w:val="24"/>
        </w:rPr>
        <w:t>–</w:t>
      </w:r>
      <w:r w:rsidRPr="00D70320">
        <w:rPr>
          <w:color w:val="FF0000"/>
          <w:sz w:val="24"/>
          <w:szCs w:val="24"/>
        </w:rPr>
        <w:t xml:space="preserve"> </w:t>
      </w:r>
      <w:r w:rsidR="00EF1EF3" w:rsidRPr="00D70320">
        <w:rPr>
          <w:sz w:val="24"/>
          <w:szCs w:val="24"/>
        </w:rPr>
        <w:t xml:space="preserve">To produce brief minutes regarding the board meetings and circulate with the board members and upload on the portal. </w:t>
      </w:r>
    </w:p>
    <w:p w:rsidR="000F502B" w:rsidRPr="00D70320" w:rsidRDefault="000F502B">
      <w:pPr>
        <w:rPr>
          <w:b/>
          <w:sz w:val="24"/>
          <w:szCs w:val="24"/>
        </w:rPr>
      </w:pPr>
      <w:r w:rsidRPr="00D70320">
        <w:rPr>
          <w:b/>
          <w:sz w:val="24"/>
          <w:szCs w:val="24"/>
        </w:rPr>
        <w:t xml:space="preserve">Pam smith and Rob  </w:t>
      </w:r>
    </w:p>
    <w:p w:rsidR="000F502B" w:rsidRPr="00D70320" w:rsidRDefault="000F502B">
      <w:pPr>
        <w:rPr>
          <w:sz w:val="24"/>
          <w:szCs w:val="24"/>
        </w:rPr>
      </w:pPr>
      <w:r w:rsidRPr="00D70320">
        <w:rPr>
          <w:sz w:val="24"/>
          <w:szCs w:val="24"/>
        </w:rPr>
        <w:t xml:space="preserve">There was a discussion to start with regarding the </w:t>
      </w:r>
      <w:r w:rsidR="00C3224D" w:rsidRPr="00D70320">
        <w:rPr>
          <w:sz w:val="24"/>
          <w:szCs w:val="24"/>
        </w:rPr>
        <w:t xml:space="preserve">relevance of the prevent Agenda to the board and its priorities.  Pam and Rob informed the group that the public are becoming almost desensitised to the seriousness of radicalisation, he said that the majority of </w:t>
      </w:r>
      <w:r w:rsidR="00293043" w:rsidRPr="00D70320">
        <w:rPr>
          <w:sz w:val="24"/>
          <w:szCs w:val="24"/>
        </w:rPr>
        <w:t>referrals</w:t>
      </w:r>
      <w:r w:rsidR="00C3224D" w:rsidRPr="00D70320">
        <w:rPr>
          <w:sz w:val="24"/>
          <w:szCs w:val="24"/>
        </w:rPr>
        <w:t xml:space="preserve"> to Channel </w:t>
      </w:r>
      <w:r w:rsidR="0011240F" w:rsidRPr="00D70320">
        <w:rPr>
          <w:sz w:val="24"/>
          <w:szCs w:val="24"/>
        </w:rPr>
        <w:t>(A</w:t>
      </w:r>
      <w:r w:rsidR="00C3224D" w:rsidRPr="00D70320">
        <w:rPr>
          <w:sz w:val="24"/>
          <w:szCs w:val="24"/>
        </w:rPr>
        <w:t xml:space="preserve"> </w:t>
      </w:r>
      <w:r w:rsidR="0011240F" w:rsidRPr="00D70320">
        <w:rPr>
          <w:sz w:val="24"/>
          <w:szCs w:val="24"/>
        </w:rPr>
        <w:t>multi-agency</w:t>
      </w:r>
      <w:r w:rsidR="00C3224D" w:rsidRPr="00D70320">
        <w:rPr>
          <w:sz w:val="24"/>
          <w:szCs w:val="24"/>
        </w:rPr>
        <w:t xml:space="preserve"> panel who evaluate cases) were people on the autistic spectrum.   With the North </w:t>
      </w:r>
      <w:r w:rsidR="0011240F" w:rsidRPr="00D70320">
        <w:rPr>
          <w:sz w:val="24"/>
          <w:szCs w:val="24"/>
        </w:rPr>
        <w:t>West</w:t>
      </w:r>
      <w:r w:rsidR="00C3224D" w:rsidRPr="00D70320">
        <w:rPr>
          <w:sz w:val="24"/>
          <w:szCs w:val="24"/>
        </w:rPr>
        <w:t xml:space="preserve"> being in a severe state, meaning a terrorist attack is highly likely, it was felt that it is </w:t>
      </w:r>
      <w:r w:rsidR="0011240F" w:rsidRPr="00D70320">
        <w:rPr>
          <w:sz w:val="24"/>
          <w:szCs w:val="24"/>
        </w:rPr>
        <w:t xml:space="preserve">important for the board to hear </w:t>
      </w:r>
      <w:r w:rsidR="00A64F71" w:rsidRPr="00D70320">
        <w:rPr>
          <w:sz w:val="24"/>
          <w:szCs w:val="24"/>
        </w:rPr>
        <w:t xml:space="preserve">the strategies which are in place and the guidance which is promoted. </w:t>
      </w:r>
    </w:p>
    <w:p w:rsidR="00A64F71" w:rsidRPr="00D70320" w:rsidRDefault="00A64F71">
      <w:pPr>
        <w:rPr>
          <w:sz w:val="24"/>
          <w:szCs w:val="24"/>
        </w:rPr>
      </w:pPr>
      <w:r w:rsidRPr="00D70320">
        <w:rPr>
          <w:sz w:val="24"/>
          <w:szCs w:val="24"/>
        </w:rPr>
        <w:t xml:space="preserve">They went on to </w:t>
      </w:r>
      <w:r w:rsidR="00293043" w:rsidRPr="00D70320">
        <w:rPr>
          <w:sz w:val="24"/>
          <w:szCs w:val="24"/>
        </w:rPr>
        <w:t>explain</w:t>
      </w:r>
      <w:r w:rsidRPr="00D70320">
        <w:rPr>
          <w:sz w:val="24"/>
          <w:szCs w:val="24"/>
        </w:rPr>
        <w:t xml:space="preserve"> the different types of extremism;</w:t>
      </w:r>
    </w:p>
    <w:p w:rsidR="00A64F71" w:rsidRPr="00D70320" w:rsidRDefault="00293043" w:rsidP="00A64F71">
      <w:pPr>
        <w:pStyle w:val="ListParagraph"/>
        <w:numPr>
          <w:ilvl w:val="0"/>
          <w:numId w:val="1"/>
        </w:numPr>
        <w:rPr>
          <w:sz w:val="24"/>
          <w:szCs w:val="24"/>
        </w:rPr>
      </w:pPr>
      <w:r w:rsidRPr="00D70320">
        <w:rPr>
          <w:sz w:val="24"/>
          <w:szCs w:val="24"/>
        </w:rPr>
        <w:t xml:space="preserve">Far Right </w:t>
      </w:r>
    </w:p>
    <w:p w:rsidR="00293043" w:rsidRPr="00D70320" w:rsidRDefault="00293043" w:rsidP="00A64F71">
      <w:pPr>
        <w:pStyle w:val="ListParagraph"/>
        <w:numPr>
          <w:ilvl w:val="0"/>
          <w:numId w:val="1"/>
        </w:numPr>
        <w:rPr>
          <w:sz w:val="24"/>
          <w:szCs w:val="24"/>
        </w:rPr>
      </w:pPr>
      <w:r w:rsidRPr="00D70320">
        <w:rPr>
          <w:sz w:val="24"/>
          <w:szCs w:val="24"/>
        </w:rPr>
        <w:t xml:space="preserve">Animal Rights </w:t>
      </w:r>
    </w:p>
    <w:p w:rsidR="00293043" w:rsidRPr="00D70320" w:rsidRDefault="00293043" w:rsidP="00A64F71">
      <w:pPr>
        <w:pStyle w:val="ListParagraph"/>
        <w:numPr>
          <w:ilvl w:val="0"/>
          <w:numId w:val="1"/>
        </w:numPr>
        <w:rPr>
          <w:sz w:val="24"/>
          <w:szCs w:val="24"/>
        </w:rPr>
      </w:pPr>
      <w:r w:rsidRPr="00D70320">
        <w:rPr>
          <w:sz w:val="24"/>
          <w:szCs w:val="24"/>
        </w:rPr>
        <w:t xml:space="preserve">Islamist </w:t>
      </w:r>
    </w:p>
    <w:p w:rsidR="00293043" w:rsidRPr="00D70320" w:rsidRDefault="00293043" w:rsidP="00A64F71">
      <w:pPr>
        <w:pStyle w:val="ListParagraph"/>
        <w:numPr>
          <w:ilvl w:val="0"/>
          <w:numId w:val="1"/>
        </w:numPr>
        <w:rPr>
          <w:sz w:val="24"/>
          <w:szCs w:val="24"/>
        </w:rPr>
      </w:pPr>
      <w:r w:rsidRPr="00D70320">
        <w:rPr>
          <w:sz w:val="24"/>
          <w:szCs w:val="24"/>
        </w:rPr>
        <w:t xml:space="preserve">Violent/ Non Violent </w:t>
      </w:r>
    </w:p>
    <w:p w:rsidR="00293043" w:rsidRPr="00D70320" w:rsidRDefault="00293043" w:rsidP="00293043">
      <w:pPr>
        <w:rPr>
          <w:sz w:val="24"/>
          <w:szCs w:val="24"/>
        </w:rPr>
      </w:pPr>
      <w:r w:rsidRPr="00D70320">
        <w:rPr>
          <w:sz w:val="24"/>
          <w:szCs w:val="24"/>
        </w:rPr>
        <w:t xml:space="preserve">To try and stop all these types of extremists, there is a CONTEST plan, this is broken into </w:t>
      </w:r>
    </w:p>
    <w:p w:rsidR="00293043" w:rsidRPr="00D70320" w:rsidRDefault="00293043" w:rsidP="00293043">
      <w:pPr>
        <w:pStyle w:val="ListParagraph"/>
        <w:numPr>
          <w:ilvl w:val="0"/>
          <w:numId w:val="2"/>
        </w:numPr>
        <w:rPr>
          <w:sz w:val="24"/>
          <w:szCs w:val="24"/>
        </w:rPr>
      </w:pPr>
      <w:r w:rsidRPr="00D70320">
        <w:rPr>
          <w:sz w:val="24"/>
          <w:szCs w:val="24"/>
        </w:rPr>
        <w:t xml:space="preserve">Protect </w:t>
      </w:r>
    </w:p>
    <w:p w:rsidR="00293043" w:rsidRPr="00D70320" w:rsidRDefault="00293043" w:rsidP="00293043">
      <w:pPr>
        <w:pStyle w:val="ListParagraph"/>
        <w:numPr>
          <w:ilvl w:val="0"/>
          <w:numId w:val="2"/>
        </w:numPr>
        <w:rPr>
          <w:sz w:val="24"/>
          <w:szCs w:val="24"/>
        </w:rPr>
      </w:pPr>
      <w:r w:rsidRPr="00D70320">
        <w:rPr>
          <w:sz w:val="24"/>
          <w:szCs w:val="24"/>
        </w:rPr>
        <w:t xml:space="preserve">Prepare </w:t>
      </w:r>
    </w:p>
    <w:p w:rsidR="00293043" w:rsidRPr="00D70320" w:rsidRDefault="00293043" w:rsidP="00293043">
      <w:pPr>
        <w:pStyle w:val="ListParagraph"/>
        <w:numPr>
          <w:ilvl w:val="0"/>
          <w:numId w:val="2"/>
        </w:numPr>
        <w:rPr>
          <w:sz w:val="24"/>
          <w:szCs w:val="24"/>
        </w:rPr>
      </w:pPr>
      <w:r w:rsidRPr="00D70320">
        <w:rPr>
          <w:sz w:val="24"/>
          <w:szCs w:val="24"/>
        </w:rPr>
        <w:t xml:space="preserve">Pursue </w:t>
      </w:r>
    </w:p>
    <w:p w:rsidR="009F127B" w:rsidRPr="00D70320" w:rsidRDefault="009F127B" w:rsidP="009F127B">
      <w:pPr>
        <w:rPr>
          <w:sz w:val="24"/>
          <w:szCs w:val="24"/>
        </w:rPr>
      </w:pPr>
      <w:r w:rsidRPr="00D70320">
        <w:rPr>
          <w:sz w:val="24"/>
          <w:szCs w:val="24"/>
        </w:rPr>
        <w:lastRenderedPageBreak/>
        <w:t xml:space="preserve">The Channel Panel works by partners jointly assessing the nature and the extent of the risk and where necessary, providing an appropriate support package tailored to the individual’s needs.  Channels overall aim is early intervention and diverting people away from the risk they may face. It uses existing collaboration between partners to support individuals and protect them from being drawn into terrorism. It is a multi agency approach with a wide range of partners working together to provide support for individuals. Coordinators are usually police officers with the multi-agency panel being chaired by the Local Authority. </w:t>
      </w:r>
    </w:p>
    <w:p w:rsidR="009F127B" w:rsidRPr="00D70320" w:rsidRDefault="009F127B" w:rsidP="00692F5C">
      <w:pPr>
        <w:rPr>
          <w:sz w:val="24"/>
          <w:szCs w:val="24"/>
        </w:rPr>
      </w:pPr>
      <w:r w:rsidRPr="00D70320">
        <w:rPr>
          <w:sz w:val="24"/>
          <w:szCs w:val="24"/>
        </w:rPr>
        <w:t>The referrals to Channel are g</w:t>
      </w:r>
      <w:r w:rsidR="00692F5C" w:rsidRPr="00D70320">
        <w:rPr>
          <w:sz w:val="24"/>
          <w:szCs w:val="24"/>
        </w:rPr>
        <w:t>enerally Children and young people who feel like they don</w:t>
      </w:r>
      <w:r w:rsidRPr="00D70320">
        <w:rPr>
          <w:sz w:val="24"/>
          <w:szCs w:val="24"/>
        </w:rPr>
        <w:t xml:space="preserve">’t belong in society, it was mentioned that typically autistic people can be more at risk to these thinking paths.  </w:t>
      </w:r>
    </w:p>
    <w:p w:rsidR="009F127B" w:rsidRPr="00D70320" w:rsidRDefault="00692F5C" w:rsidP="00692F5C">
      <w:pPr>
        <w:rPr>
          <w:sz w:val="24"/>
          <w:szCs w:val="24"/>
        </w:rPr>
      </w:pPr>
      <w:r w:rsidRPr="00D70320">
        <w:rPr>
          <w:sz w:val="24"/>
          <w:szCs w:val="24"/>
        </w:rPr>
        <w:t>There is an anonymous hotline which you can ring and report any</w:t>
      </w:r>
      <w:r w:rsidR="009F127B" w:rsidRPr="00D70320">
        <w:rPr>
          <w:sz w:val="24"/>
          <w:szCs w:val="24"/>
        </w:rPr>
        <w:t xml:space="preserve"> queries to or any concerns;</w:t>
      </w:r>
    </w:p>
    <w:p w:rsidR="00692F5C" w:rsidRPr="00D70320" w:rsidRDefault="009F127B" w:rsidP="009F127B">
      <w:pPr>
        <w:pStyle w:val="ListParagraph"/>
        <w:numPr>
          <w:ilvl w:val="0"/>
          <w:numId w:val="3"/>
        </w:numPr>
        <w:rPr>
          <w:sz w:val="24"/>
          <w:szCs w:val="24"/>
        </w:rPr>
      </w:pPr>
      <w:r w:rsidRPr="00D70320">
        <w:rPr>
          <w:rFonts w:cs="Arial"/>
          <w:sz w:val="24"/>
          <w:szCs w:val="24"/>
        </w:rPr>
        <w:t>Anti-terrorism hotline 0800 789 321</w:t>
      </w:r>
    </w:p>
    <w:p w:rsidR="009F127B" w:rsidRPr="00D70320" w:rsidRDefault="006508F1" w:rsidP="009F127B">
      <w:pPr>
        <w:rPr>
          <w:b/>
          <w:sz w:val="24"/>
          <w:szCs w:val="24"/>
        </w:rPr>
      </w:pPr>
      <w:r w:rsidRPr="00D70320">
        <w:rPr>
          <w:b/>
          <w:sz w:val="24"/>
          <w:szCs w:val="24"/>
        </w:rPr>
        <w:t>Discussion re Board members and increasing membership</w:t>
      </w:r>
    </w:p>
    <w:p w:rsidR="006508F1" w:rsidRPr="00D70320" w:rsidRDefault="006508F1" w:rsidP="009F127B">
      <w:pPr>
        <w:rPr>
          <w:sz w:val="24"/>
          <w:szCs w:val="24"/>
        </w:rPr>
      </w:pPr>
      <w:r w:rsidRPr="00D70320">
        <w:rPr>
          <w:sz w:val="24"/>
          <w:szCs w:val="24"/>
        </w:rPr>
        <w:t>Ellen shared with the group the links of guidance from NAS which was created and circulated when the Partnership Boards were formed.  The links are below;</w:t>
      </w:r>
    </w:p>
    <w:p w:rsidR="006508F1" w:rsidRPr="00D70320" w:rsidRDefault="001F6DAE" w:rsidP="006508F1">
      <w:pPr>
        <w:pStyle w:val="ListParagraph"/>
        <w:numPr>
          <w:ilvl w:val="0"/>
          <w:numId w:val="3"/>
        </w:numPr>
        <w:rPr>
          <w:rStyle w:val="Hyperlink"/>
          <w:color w:val="auto"/>
          <w:sz w:val="24"/>
          <w:szCs w:val="24"/>
        </w:rPr>
      </w:pPr>
      <w:hyperlink r:id="rId7" w:history="1">
        <w:r w:rsidR="006508F1" w:rsidRPr="00D70320">
          <w:rPr>
            <w:rStyle w:val="Hyperlink"/>
            <w:color w:val="auto"/>
            <w:sz w:val="24"/>
            <w:szCs w:val="24"/>
          </w:rPr>
          <w:t>http://www.autism.org.uk/abo</w:t>
        </w:r>
        <w:r w:rsidR="006508F1" w:rsidRPr="00D70320">
          <w:rPr>
            <w:rStyle w:val="Hyperlink"/>
            <w:color w:val="auto"/>
            <w:sz w:val="24"/>
            <w:szCs w:val="24"/>
          </w:rPr>
          <w:t>ut/strategy/practical-guidance.aspx</w:t>
        </w:r>
      </w:hyperlink>
    </w:p>
    <w:p w:rsidR="006508F1" w:rsidRPr="00D70320" w:rsidRDefault="001F6DAE" w:rsidP="006508F1">
      <w:pPr>
        <w:pStyle w:val="ListParagraph"/>
        <w:numPr>
          <w:ilvl w:val="0"/>
          <w:numId w:val="3"/>
        </w:numPr>
        <w:rPr>
          <w:rStyle w:val="Hyperlink"/>
          <w:color w:val="auto"/>
          <w:sz w:val="24"/>
          <w:szCs w:val="24"/>
          <w:u w:val="none"/>
        </w:rPr>
      </w:pPr>
      <w:hyperlink r:id="rId8" w:history="1">
        <w:r w:rsidR="006508F1" w:rsidRPr="00D70320">
          <w:rPr>
            <w:rStyle w:val="Hyperlink"/>
            <w:color w:val="auto"/>
            <w:sz w:val="24"/>
            <w:szCs w:val="24"/>
          </w:rPr>
          <w:t>http://www.autism.org.uk</w:t>
        </w:r>
        <w:r w:rsidR="006508F1" w:rsidRPr="00D70320">
          <w:rPr>
            <w:rStyle w:val="Hyperlink"/>
            <w:color w:val="auto"/>
            <w:sz w:val="24"/>
            <w:szCs w:val="24"/>
          </w:rPr>
          <w:t>/about/strategy/2010-strategy/autism-partnership-boards.aspx</w:t>
        </w:r>
      </w:hyperlink>
    </w:p>
    <w:p w:rsidR="006508F1" w:rsidRPr="00D70320" w:rsidRDefault="006508F1" w:rsidP="006508F1">
      <w:pPr>
        <w:rPr>
          <w:sz w:val="24"/>
          <w:szCs w:val="24"/>
        </w:rPr>
      </w:pPr>
      <w:r w:rsidRPr="00D70320">
        <w:rPr>
          <w:sz w:val="24"/>
          <w:szCs w:val="24"/>
        </w:rPr>
        <w:t xml:space="preserve">These links help us to assess who might be a missing key member for the board who could be able to help with decision making. </w:t>
      </w:r>
    </w:p>
    <w:p w:rsidR="006508F1" w:rsidRPr="00D70320" w:rsidRDefault="00CB2E99" w:rsidP="00CB2E99">
      <w:pPr>
        <w:pStyle w:val="ListParagraph"/>
        <w:numPr>
          <w:ilvl w:val="0"/>
          <w:numId w:val="4"/>
        </w:numPr>
        <w:rPr>
          <w:sz w:val="24"/>
          <w:szCs w:val="24"/>
        </w:rPr>
      </w:pPr>
      <w:r w:rsidRPr="00D70320">
        <w:rPr>
          <w:sz w:val="24"/>
          <w:szCs w:val="24"/>
        </w:rPr>
        <w:t xml:space="preserve">CCG Reps – There are lots of CCG Commissioners and so it was thought that we  and so it was thought that we should invite relevant commissioners as and when they are needed.  -should invite relevant commissioners as and when they are needed. </w:t>
      </w:r>
    </w:p>
    <w:p w:rsidR="00CB2E99" w:rsidRPr="00D70320" w:rsidRDefault="00CB2E99" w:rsidP="00CB2E99">
      <w:pPr>
        <w:pStyle w:val="ListParagraph"/>
        <w:numPr>
          <w:ilvl w:val="0"/>
          <w:numId w:val="4"/>
        </w:numPr>
        <w:rPr>
          <w:sz w:val="24"/>
          <w:szCs w:val="24"/>
        </w:rPr>
      </w:pPr>
      <w:r w:rsidRPr="00D70320">
        <w:rPr>
          <w:sz w:val="24"/>
          <w:szCs w:val="24"/>
        </w:rPr>
        <w:t>Public health Commissioners – Need to be invited to future board meetings as they commission some Autism services.</w:t>
      </w:r>
    </w:p>
    <w:p w:rsidR="00CB2E99" w:rsidRPr="00D70320" w:rsidRDefault="00CB2E99" w:rsidP="00CB2E99">
      <w:pPr>
        <w:pStyle w:val="ListParagraph"/>
        <w:numPr>
          <w:ilvl w:val="0"/>
          <w:numId w:val="4"/>
        </w:numPr>
        <w:rPr>
          <w:sz w:val="24"/>
          <w:szCs w:val="24"/>
        </w:rPr>
      </w:pPr>
      <w:r w:rsidRPr="00D70320">
        <w:rPr>
          <w:sz w:val="24"/>
          <w:szCs w:val="24"/>
        </w:rPr>
        <w:t>Transforming Care – Sally Nightingale attends the board when invited and provides an update.</w:t>
      </w:r>
    </w:p>
    <w:p w:rsidR="00CB2E99" w:rsidRPr="00D70320" w:rsidRDefault="00CB2E99" w:rsidP="002B42F1">
      <w:pPr>
        <w:pStyle w:val="ListParagraph"/>
        <w:numPr>
          <w:ilvl w:val="0"/>
          <w:numId w:val="4"/>
        </w:numPr>
        <w:rPr>
          <w:sz w:val="24"/>
          <w:szCs w:val="24"/>
        </w:rPr>
      </w:pPr>
      <w:r w:rsidRPr="00D70320">
        <w:rPr>
          <w:sz w:val="24"/>
          <w:szCs w:val="24"/>
        </w:rPr>
        <w:t>Children's – David Middleton attends Board and when the Transition sub group is active then we will look at other colleagues which it would be beneficial to have their input.</w:t>
      </w:r>
    </w:p>
    <w:p w:rsidR="006508F1" w:rsidRPr="00D70320" w:rsidRDefault="002B42F1" w:rsidP="002B42F1">
      <w:pPr>
        <w:pStyle w:val="ListParagraph"/>
        <w:numPr>
          <w:ilvl w:val="0"/>
          <w:numId w:val="4"/>
        </w:numPr>
        <w:rPr>
          <w:sz w:val="24"/>
          <w:szCs w:val="24"/>
        </w:rPr>
      </w:pPr>
      <w:r w:rsidRPr="00D70320">
        <w:rPr>
          <w:sz w:val="24"/>
          <w:szCs w:val="24"/>
        </w:rPr>
        <w:t>STP</w:t>
      </w:r>
      <w:r w:rsidR="00CB2E99" w:rsidRPr="00D70320">
        <w:rPr>
          <w:sz w:val="24"/>
          <w:szCs w:val="24"/>
        </w:rPr>
        <w:t xml:space="preserve"> – Nigel Sanderson attends the board when invite and provides an update.</w:t>
      </w:r>
    </w:p>
    <w:p w:rsidR="006508F1" w:rsidRPr="00D70320" w:rsidRDefault="006508F1" w:rsidP="006508F1">
      <w:pPr>
        <w:rPr>
          <w:sz w:val="24"/>
          <w:szCs w:val="24"/>
        </w:rPr>
      </w:pPr>
      <w:r w:rsidRPr="00D70320">
        <w:rPr>
          <w:sz w:val="24"/>
          <w:szCs w:val="24"/>
        </w:rPr>
        <w:t xml:space="preserve"> We also had a discussion re how we can advertise the board better and look how we currently tell people</w:t>
      </w:r>
      <w:r w:rsidR="002B42F1" w:rsidRPr="00D70320">
        <w:rPr>
          <w:sz w:val="24"/>
          <w:szCs w:val="24"/>
        </w:rPr>
        <w:t xml:space="preserve"> about us</w:t>
      </w:r>
      <w:r w:rsidRPr="00D70320">
        <w:rPr>
          <w:sz w:val="24"/>
          <w:szCs w:val="24"/>
        </w:rPr>
        <w:t>?</w:t>
      </w:r>
    </w:p>
    <w:p w:rsidR="002B42F1" w:rsidRPr="00D70320" w:rsidRDefault="002B42F1" w:rsidP="006508F1">
      <w:pPr>
        <w:rPr>
          <w:sz w:val="24"/>
          <w:szCs w:val="24"/>
        </w:rPr>
      </w:pPr>
      <w:r w:rsidRPr="00D70320">
        <w:rPr>
          <w:sz w:val="24"/>
          <w:szCs w:val="24"/>
        </w:rPr>
        <w:t xml:space="preserve">We discussed that we have the website which is regularly updated but we decided that we need to do more of a push on advertising the great work which the board is achieving. </w:t>
      </w:r>
    </w:p>
    <w:p w:rsidR="002B42F1" w:rsidRPr="00D70320" w:rsidRDefault="002B42F1" w:rsidP="006508F1">
      <w:pPr>
        <w:rPr>
          <w:sz w:val="24"/>
          <w:szCs w:val="24"/>
        </w:rPr>
      </w:pPr>
      <w:r w:rsidRPr="00D70320">
        <w:rPr>
          <w:sz w:val="24"/>
          <w:szCs w:val="24"/>
        </w:rPr>
        <w:t xml:space="preserve">Some members felt that more self-advocates may attend if they felt like their voice would be listened to.  They felt that if we had a standard agenda item, for every meeting which </w:t>
      </w:r>
      <w:r w:rsidRPr="00D70320">
        <w:rPr>
          <w:sz w:val="24"/>
          <w:szCs w:val="24"/>
        </w:rPr>
        <w:lastRenderedPageBreak/>
        <w:t xml:space="preserve">gave self-advocates time to tell a personal story and be listened to.  However it was also felt that this may take lots of time out of the meeting and may not necessarily provide any positive outcomes.  It was felt that it would be better having a separate forum for self-advocates and family carers views to be heard.   </w:t>
      </w:r>
    </w:p>
    <w:p w:rsidR="003045B6" w:rsidRPr="00D70320" w:rsidRDefault="003045B6" w:rsidP="006508F1">
      <w:pPr>
        <w:rPr>
          <w:sz w:val="24"/>
          <w:szCs w:val="24"/>
        </w:rPr>
      </w:pPr>
      <w:r w:rsidRPr="00D70320">
        <w:rPr>
          <w:sz w:val="24"/>
          <w:szCs w:val="24"/>
        </w:rPr>
        <w:t xml:space="preserve">As a board it was decided that we need to look as how our board ties in with others such as the Health and Wellbeing Board, Transforming Care Board, STP Board.  </w:t>
      </w:r>
    </w:p>
    <w:p w:rsidR="003045B6" w:rsidRPr="00D70320" w:rsidRDefault="003045B6" w:rsidP="006508F1">
      <w:pPr>
        <w:rPr>
          <w:sz w:val="24"/>
          <w:szCs w:val="24"/>
        </w:rPr>
      </w:pPr>
      <w:r w:rsidRPr="00D70320">
        <w:rPr>
          <w:color w:val="FF0000"/>
          <w:sz w:val="24"/>
          <w:szCs w:val="24"/>
        </w:rPr>
        <w:t xml:space="preserve">Kiran Banati – </w:t>
      </w:r>
      <w:r w:rsidRPr="00D70320">
        <w:rPr>
          <w:sz w:val="24"/>
          <w:szCs w:val="24"/>
        </w:rPr>
        <w:t xml:space="preserve">To have a look at current engagement arrangements and how we can improve this.  </w:t>
      </w:r>
    </w:p>
    <w:p w:rsidR="003045B6" w:rsidRPr="00D70320" w:rsidRDefault="003045B6" w:rsidP="006508F1">
      <w:pPr>
        <w:rPr>
          <w:sz w:val="24"/>
          <w:szCs w:val="24"/>
        </w:rPr>
      </w:pPr>
      <w:r w:rsidRPr="00D70320">
        <w:rPr>
          <w:color w:val="FF0000"/>
          <w:sz w:val="24"/>
          <w:szCs w:val="24"/>
        </w:rPr>
        <w:t xml:space="preserve">Kiran Banati – </w:t>
      </w:r>
      <w:r w:rsidRPr="00D70320">
        <w:rPr>
          <w:sz w:val="24"/>
          <w:szCs w:val="24"/>
        </w:rPr>
        <w:t xml:space="preserve">Take a lead on organising engagement events for the Transition Subgroup.  </w:t>
      </w:r>
    </w:p>
    <w:p w:rsidR="002B42F1" w:rsidRPr="00D70320" w:rsidRDefault="002B42F1" w:rsidP="006508F1">
      <w:pPr>
        <w:rPr>
          <w:sz w:val="24"/>
          <w:szCs w:val="24"/>
        </w:rPr>
      </w:pPr>
      <w:r w:rsidRPr="00D70320">
        <w:rPr>
          <w:color w:val="FF0000"/>
          <w:sz w:val="24"/>
          <w:szCs w:val="24"/>
        </w:rPr>
        <w:t xml:space="preserve">Victoria – </w:t>
      </w:r>
      <w:r w:rsidRPr="00D70320">
        <w:rPr>
          <w:sz w:val="24"/>
          <w:szCs w:val="24"/>
        </w:rPr>
        <w:t>Set up meetings which are purely focused on membership of the Board and the Boards priorities.</w:t>
      </w:r>
    </w:p>
    <w:p w:rsidR="002B42F1" w:rsidRPr="00D70320" w:rsidRDefault="002B42F1" w:rsidP="006508F1">
      <w:pPr>
        <w:rPr>
          <w:sz w:val="24"/>
          <w:szCs w:val="24"/>
        </w:rPr>
      </w:pPr>
      <w:r w:rsidRPr="00D70320">
        <w:rPr>
          <w:color w:val="FF0000"/>
          <w:sz w:val="24"/>
          <w:szCs w:val="24"/>
        </w:rPr>
        <w:t xml:space="preserve">Victoria – </w:t>
      </w:r>
      <w:r w:rsidRPr="00D70320">
        <w:rPr>
          <w:sz w:val="24"/>
          <w:szCs w:val="24"/>
        </w:rPr>
        <w:t>Circulate DASP Flow charts for sign off</w:t>
      </w:r>
    </w:p>
    <w:p w:rsidR="002B42F1" w:rsidRPr="00D70320" w:rsidRDefault="002B42F1" w:rsidP="006508F1">
      <w:pPr>
        <w:rPr>
          <w:sz w:val="24"/>
          <w:szCs w:val="24"/>
        </w:rPr>
      </w:pPr>
      <w:r w:rsidRPr="00D70320">
        <w:rPr>
          <w:color w:val="FF0000"/>
          <w:sz w:val="24"/>
          <w:szCs w:val="24"/>
        </w:rPr>
        <w:t xml:space="preserve">Victoria – </w:t>
      </w:r>
      <w:r w:rsidRPr="00D70320">
        <w:rPr>
          <w:sz w:val="24"/>
          <w:szCs w:val="24"/>
        </w:rPr>
        <w:t>Circulate Family Carer</w:t>
      </w:r>
      <w:r w:rsidR="00DC30C6" w:rsidRPr="00D70320">
        <w:rPr>
          <w:sz w:val="24"/>
          <w:szCs w:val="24"/>
        </w:rPr>
        <w:t>s</w:t>
      </w:r>
      <w:r w:rsidRPr="00D70320">
        <w:rPr>
          <w:sz w:val="24"/>
          <w:szCs w:val="24"/>
        </w:rPr>
        <w:t xml:space="preserve"> Group newsletter </w:t>
      </w:r>
    </w:p>
    <w:p w:rsidR="00DC30C6" w:rsidRDefault="00DC30C6" w:rsidP="006508F1">
      <w:pPr>
        <w:rPr>
          <w:sz w:val="24"/>
          <w:szCs w:val="24"/>
        </w:rPr>
      </w:pPr>
      <w:r w:rsidRPr="00D70320">
        <w:rPr>
          <w:color w:val="FF0000"/>
          <w:sz w:val="24"/>
          <w:szCs w:val="24"/>
        </w:rPr>
        <w:t xml:space="preserve">Victoria – </w:t>
      </w:r>
      <w:r w:rsidRPr="00D70320">
        <w:rPr>
          <w:sz w:val="24"/>
          <w:szCs w:val="24"/>
        </w:rPr>
        <w:t xml:space="preserve">Circulate NAS Links </w:t>
      </w:r>
    </w:p>
    <w:p w:rsidR="00B9559B" w:rsidRDefault="00B9559B" w:rsidP="006508F1">
      <w:pPr>
        <w:rPr>
          <w:b/>
          <w:sz w:val="24"/>
          <w:szCs w:val="24"/>
        </w:rPr>
      </w:pPr>
      <w:r>
        <w:rPr>
          <w:b/>
          <w:sz w:val="24"/>
          <w:szCs w:val="24"/>
        </w:rPr>
        <w:t>The next meeting is the 22</w:t>
      </w:r>
      <w:r w:rsidRPr="00B9559B">
        <w:rPr>
          <w:b/>
          <w:sz w:val="24"/>
          <w:szCs w:val="24"/>
          <w:vertAlign w:val="superscript"/>
        </w:rPr>
        <w:t>nd</w:t>
      </w:r>
      <w:r>
        <w:rPr>
          <w:b/>
          <w:sz w:val="24"/>
          <w:szCs w:val="24"/>
        </w:rPr>
        <w:t xml:space="preserve"> May 2018 at 10am until 12:30pm in Cabinet Room D, County Hall, Preston, PR1 8XJ.  </w:t>
      </w:r>
    </w:p>
    <w:p w:rsidR="00DE0AEB" w:rsidRDefault="0077008F" w:rsidP="0077008F">
      <w:pPr>
        <w:rPr>
          <w:b/>
          <w:sz w:val="24"/>
          <w:szCs w:val="24"/>
        </w:rPr>
      </w:pPr>
      <w:r w:rsidRPr="0077008F">
        <w:rPr>
          <w:b/>
          <w:sz w:val="24"/>
          <w:szCs w:val="24"/>
        </w:rPr>
        <w:tab/>
      </w:r>
    </w:p>
    <w:tbl>
      <w:tblPr>
        <w:tblpPr w:leftFromText="180" w:rightFromText="180" w:vertAnchor="page" w:horzAnchor="margin" w:tblpXSpec="center" w:tblpY="8749"/>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1788"/>
        <w:gridCol w:w="1463"/>
      </w:tblGrid>
      <w:tr w:rsidR="0077008F" w:rsidRPr="00BF6B5E" w:rsidTr="0077008F">
        <w:trPr>
          <w:trHeight w:val="704"/>
        </w:trPr>
        <w:tc>
          <w:tcPr>
            <w:tcW w:w="4334" w:type="dxa"/>
          </w:tcPr>
          <w:p w:rsidR="0077008F" w:rsidRPr="00BF6B5E" w:rsidRDefault="0077008F" w:rsidP="0077008F">
            <w:pPr>
              <w:ind w:left="-60"/>
              <w:jc w:val="center"/>
              <w:rPr>
                <w:rFonts w:ascii="Corbel" w:hAnsi="Corbel"/>
                <w:u w:val="single"/>
              </w:rPr>
            </w:pPr>
            <w:r w:rsidRPr="00BF6B5E">
              <w:rPr>
                <w:rFonts w:ascii="Corbel" w:hAnsi="Corbel"/>
                <w:u w:val="single"/>
              </w:rPr>
              <w:t>Action</w:t>
            </w:r>
          </w:p>
        </w:tc>
        <w:tc>
          <w:tcPr>
            <w:tcW w:w="1788" w:type="dxa"/>
          </w:tcPr>
          <w:p w:rsidR="0077008F" w:rsidRPr="00BF6B5E" w:rsidRDefault="0077008F" w:rsidP="0077008F">
            <w:pPr>
              <w:ind w:left="-60"/>
              <w:jc w:val="center"/>
              <w:rPr>
                <w:rFonts w:ascii="Corbel" w:hAnsi="Corbel"/>
                <w:u w:val="single"/>
              </w:rPr>
            </w:pPr>
            <w:r w:rsidRPr="00BF6B5E">
              <w:rPr>
                <w:rFonts w:ascii="Corbel" w:hAnsi="Corbel"/>
                <w:u w:val="single"/>
              </w:rPr>
              <w:t>Date To Be Completed</w:t>
            </w:r>
            <w:r>
              <w:rPr>
                <w:rFonts w:ascii="Corbel" w:hAnsi="Corbel"/>
                <w:u w:val="single"/>
              </w:rPr>
              <w:t xml:space="preserve"> </w:t>
            </w:r>
            <w:r w:rsidRPr="00BF6B5E">
              <w:rPr>
                <w:rFonts w:ascii="Corbel" w:hAnsi="Corbel"/>
                <w:u w:val="single"/>
              </w:rPr>
              <w:t xml:space="preserve">By.  </w:t>
            </w:r>
          </w:p>
        </w:tc>
        <w:tc>
          <w:tcPr>
            <w:tcW w:w="1463" w:type="dxa"/>
          </w:tcPr>
          <w:p w:rsidR="0077008F" w:rsidRPr="00BF6B5E" w:rsidRDefault="0077008F" w:rsidP="0077008F">
            <w:pPr>
              <w:ind w:left="-60"/>
              <w:jc w:val="center"/>
              <w:rPr>
                <w:rFonts w:ascii="Corbel" w:hAnsi="Corbel"/>
                <w:u w:val="single"/>
              </w:rPr>
            </w:pPr>
            <w:r>
              <w:rPr>
                <w:rFonts w:ascii="Corbel" w:hAnsi="Corbel"/>
                <w:u w:val="single"/>
              </w:rPr>
              <w:t>Completed Yes / No</w:t>
            </w:r>
          </w:p>
        </w:tc>
      </w:tr>
      <w:tr w:rsidR="0077008F" w:rsidRPr="00BF6B5E" w:rsidTr="0077008F">
        <w:trPr>
          <w:trHeight w:val="221"/>
        </w:trPr>
        <w:tc>
          <w:tcPr>
            <w:tcW w:w="4334" w:type="dxa"/>
          </w:tcPr>
          <w:p w:rsidR="0077008F" w:rsidRPr="0077008F" w:rsidRDefault="0077008F" w:rsidP="0077008F">
            <w:pPr>
              <w:rPr>
                <w:sz w:val="24"/>
                <w:szCs w:val="24"/>
              </w:rPr>
            </w:pPr>
            <w:r w:rsidRPr="00D70320">
              <w:rPr>
                <w:color w:val="FF0000"/>
                <w:sz w:val="24"/>
                <w:szCs w:val="24"/>
              </w:rPr>
              <w:t xml:space="preserve">Victoria- </w:t>
            </w:r>
            <w:r w:rsidRPr="00D70320">
              <w:rPr>
                <w:sz w:val="24"/>
                <w:szCs w:val="24"/>
              </w:rPr>
              <w:t xml:space="preserve">To amend the log accordingly with a completed column next to the actions and the responsible individual. </w:t>
            </w:r>
          </w:p>
        </w:tc>
        <w:tc>
          <w:tcPr>
            <w:tcW w:w="1788" w:type="dxa"/>
          </w:tcPr>
          <w:p w:rsidR="0077008F" w:rsidRDefault="0077008F" w:rsidP="0077008F">
            <w:pPr>
              <w:ind w:left="-60"/>
              <w:jc w:val="center"/>
              <w:rPr>
                <w:rFonts w:ascii="Corbel" w:hAnsi="Corbel"/>
              </w:rPr>
            </w:pPr>
          </w:p>
          <w:p w:rsidR="0077008F" w:rsidRPr="00BF6B5E" w:rsidRDefault="0077008F" w:rsidP="0077008F">
            <w:pPr>
              <w:ind w:left="-60"/>
              <w:jc w:val="center"/>
              <w:rPr>
                <w:rFonts w:ascii="Corbel" w:hAnsi="Corbel"/>
              </w:rPr>
            </w:pPr>
            <w:r>
              <w:rPr>
                <w:rFonts w:ascii="Corbel" w:hAnsi="Corbel"/>
              </w:rPr>
              <w:t>22</w:t>
            </w:r>
            <w:r w:rsidRPr="0077008F">
              <w:rPr>
                <w:rFonts w:ascii="Corbel" w:hAnsi="Corbel"/>
                <w:vertAlign w:val="superscript"/>
              </w:rPr>
              <w:t>nd</w:t>
            </w:r>
            <w:r>
              <w:rPr>
                <w:rFonts w:ascii="Corbel" w:hAnsi="Corbel"/>
              </w:rPr>
              <w:t xml:space="preserve"> May</w:t>
            </w:r>
          </w:p>
        </w:tc>
        <w:tc>
          <w:tcPr>
            <w:tcW w:w="1463" w:type="dxa"/>
          </w:tcPr>
          <w:p w:rsidR="0077008F" w:rsidRDefault="0077008F" w:rsidP="0077008F">
            <w:pPr>
              <w:ind w:left="-60"/>
              <w:jc w:val="center"/>
              <w:rPr>
                <w:rFonts w:ascii="Corbel" w:hAnsi="Corbel"/>
              </w:rPr>
            </w:pPr>
          </w:p>
          <w:p w:rsidR="0077008F" w:rsidRPr="00BF6B5E" w:rsidRDefault="001F6DAE" w:rsidP="0077008F">
            <w:pPr>
              <w:ind w:left="-60"/>
              <w:jc w:val="center"/>
              <w:rPr>
                <w:rFonts w:ascii="Corbel" w:hAnsi="Corbel"/>
              </w:rPr>
            </w:pPr>
            <w:r>
              <w:rPr>
                <w:rFonts w:ascii="Corbel" w:hAnsi="Corbel"/>
              </w:rPr>
              <w:t>Complete</w:t>
            </w:r>
          </w:p>
        </w:tc>
      </w:tr>
      <w:tr w:rsidR="0077008F" w:rsidRPr="00BF6B5E" w:rsidTr="0077008F">
        <w:trPr>
          <w:trHeight w:val="221"/>
        </w:trPr>
        <w:tc>
          <w:tcPr>
            <w:tcW w:w="4334" w:type="dxa"/>
          </w:tcPr>
          <w:p w:rsidR="0077008F" w:rsidRPr="0077008F" w:rsidRDefault="0077008F" w:rsidP="0077008F">
            <w:pPr>
              <w:rPr>
                <w:sz w:val="24"/>
                <w:szCs w:val="24"/>
              </w:rPr>
            </w:pPr>
            <w:r w:rsidRPr="00D70320">
              <w:rPr>
                <w:color w:val="FF0000"/>
                <w:sz w:val="24"/>
                <w:szCs w:val="24"/>
              </w:rPr>
              <w:t xml:space="preserve">Victoria – </w:t>
            </w:r>
            <w:r w:rsidRPr="00D70320">
              <w:rPr>
                <w:sz w:val="24"/>
                <w:szCs w:val="24"/>
              </w:rPr>
              <w:t xml:space="preserve">To produce brief minutes regarding the board meetings and circulate with the board members and upload on the portal. </w:t>
            </w:r>
          </w:p>
        </w:tc>
        <w:tc>
          <w:tcPr>
            <w:tcW w:w="1788" w:type="dxa"/>
          </w:tcPr>
          <w:p w:rsidR="0077008F" w:rsidRDefault="0077008F" w:rsidP="0077008F">
            <w:pPr>
              <w:ind w:left="-60"/>
              <w:jc w:val="center"/>
              <w:rPr>
                <w:rFonts w:ascii="Corbel" w:hAnsi="Corbel"/>
              </w:rPr>
            </w:pPr>
            <w:bookmarkStart w:id="0" w:name="_GoBack"/>
            <w:bookmarkEnd w:id="0"/>
          </w:p>
          <w:p w:rsidR="0077008F" w:rsidRPr="00BF6B5E" w:rsidRDefault="0077008F" w:rsidP="0077008F">
            <w:pPr>
              <w:ind w:left="-60"/>
              <w:jc w:val="center"/>
              <w:rPr>
                <w:rFonts w:ascii="Corbel" w:hAnsi="Corbel"/>
              </w:rPr>
            </w:pPr>
            <w:r>
              <w:rPr>
                <w:rFonts w:ascii="Corbel" w:hAnsi="Corbel"/>
              </w:rPr>
              <w:t>22</w:t>
            </w:r>
            <w:r w:rsidRPr="0077008F">
              <w:rPr>
                <w:rFonts w:ascii="Corbel" w:hAnsi="Corbel"/>
                <w:vertAlign w:val="superscript"/>
              </w:rPr>
              <w:t>nd</w:t>
            </w:r>
            <w:r>
              <w:rPr>
                <w:rFonts w:ascii="Corbel" w:hAnsi="Corbel"/>
              </w:rPr>
              <w:t xml:space="preserve"> May</w:t>
            </w:r>
          </w:p>
        </w:tc>
        <w:tc>
          <w:tcPr>
            <w:tcW w:w="1463" w:type="dxa"/>
          </w:tcPr>
          <w:p w:rsidR="0077008F" w:rsidRDefault="0077008F" w:rsidP="0077008F">
            <w:pPr>
              <w:ind w:left="-60"/>
              <w:jc w:val="center"/>
              <w:rPr>
                <w:rFonts w:ascii="Corbel" w:hAnsi="Corbel"/>
              </w:rPr>
            </w:pPr>
          </w:p>
          <w:p w:rsidR="0077008F" w:rsidRPr="00BF6B5E" w:rsidRDefault="001F6DAE" w:rsidP="0077008F">
            <w:pPr>
              <w:ind w:left="-60"/>
              <w:jc w:val="center"/>
              <w:rPr>
                <w:rFonts w:ascii="Corbel" w:hAnsi="Corbel"/>
              </w:rPr>
            </w:pPr>
            <w:r>
              <w:rPr>
                <w:rFonts w:ascii="Corbel" w:hAnsi="Corbel"/>
              </w:rPr>
              <w:t>Complete</w:t>
            </w:r>
          </w:p>
        </w:tc>
      </w:tr>
      <w:tr w:rsidR="0077008F" w:rsidRPr="00BF6B5E" w:rsidTr="0077008F">
        <w:trPr>
          <w:trHeight w:val="221"/>
        </w:trPr>
        <w:tc>
          <w:tcPr>
            <w:tcW w:w="4334" w:type="dxa"/>
          </w:tcPr>
          <w:p w:rsidR="0077008F" w:rsidRPr="00D70320" w:rsidRDefault="0077008F" w:rsidP="0077008F">
            <w:pPr>
              <w:rPr>
                <w:sz w:val="24"/>
                <w:szCs w:val="24"/>
              </w:rPr>
            </w:pPr>
            <w:r w:rsidRPr="00D70320">
              <w:rPr>
                <w:color w:val="FF0000"/>
                <w:sz w:val="24"/>
                <w:szCs w:val="24"/>
              </w:rPr>
              <w:t xml:space="preserve">Kiran Banati – </w:t>
            </w:r>
            <w:r w:rsidRPr="00D70320">
              <w:rPr>
                <w:sz w:val="24"/>
                <w:szCs w:val="24"/>
              </w:rPr>
              <w:t xml:space="preserve">To have a look at current engagement arrangements and how we can improve this.  </w:t>
            </w:r>
          </w:p>
          <w:p w:rsidR="0077008F" w:rsidRPr="00BF6B5E" w:rsidRDefault="0077008F" w:rsidP="0077008F">
            <w:pPr>
              <w:jc w:val="center"/>
              <w:rPr>
                <w:rFonts w:ascii="Corbel" w:hAnsi="Corbel"/>
              </w:rPr>
            </w:pPr>
          </w:p>
        </w:tc>
        <w:tc>
          <w:tcPr>
            <w:tcW w:w="1788" w:type="dxa"/>
          </w:tcPr>
          <w:p w:rsidR="0077008F" w:rsidRPr="00BF6B5E" w:rsidRDefault="0077008F" w:rsidP="0077008F">
            <w:pPr>
              <w:ind w:left="-60"/>
              <w:jc w:val="center"/>
              <w:rPr>
                <w:rFonts w:ascii="Corbel" w:hAnsi="Corbel"/>
              </w:rPr>
            </w:pPr>
            <w:r>
              <w:rPr>
                <w:rFonts w:ascii="Corbel" w:hAnsi="Corbel"/>
              </w:rPr>
              <w:t>22</w:t>
            </w:r>
            <w:r w:rsidRPr="0077008F">
              <w:rPr>
                <w:rFonts w:ascii="Corbel" w:hAnsi="Corbel"/>
                <w:vertAlign w:val="superscript"/>
              </w:rPr>
              <w:t>nd</w:t>
            </w:r>
            <w:r>
              <w:rPr>
                <w:rFonts w:ascii="Corbel" w:hAnsi="Corbel"/>
              </w:rPr>
              <w:t xml:space="preserve"> May</w:t>
            </w:r>
          </w:p>
        </w:tc>
        <w:tc>
          <w:tcPr>
            <w:tcW w:w="1463" w:type="dxa"/>
          </w:tcPr>
          <w:p w:rsidR="0077008F" w:rsidRPr="00BF6B5E" w:rsidRDefault="001F6DAE" w:rsidP="001F6DAE">
            <w:pPr>
              <w:ind w:left="-60"/>
              <w:rPr>
                <w:rFonts w:ascii="Corbel" w:hAnsi="Corbel"/>
              </w:rPr>
            </w:pPr>
            <w:r>
              <w:rPr>
                <w:rFonts w:ascii="Corbel" w:hAnsi="Corbel"/>
              </w:rPr>
              <w:t>Ongoing</w:t>
            </w:r>
          </w:p>
        </w:tc>
      </w:tr>
      <w:tr w:rsidR="0077008F" w:rsidRPr="00BF6B5E" w:rsidTr="0077008F">
        <w:trPr>
          <w:trHeight w:val="221"/>
        </w:trPr>
        <w:tc>
          <w:tcPr>
            <w:tcW w:w="4334" w:type="dxa"/>
          </w:tcPr>
          <w:p w:rsidR="0077008F" w:rsidRPr="00137DAA" w:rsidRDefault="0077008F" w:rsidP="0077008F">
            <w:pPr>
              <w:rPr>
                <w:sz w:val="24"/>
                <w:szCs w:val="24"/>
              </w:rPr>
            </w:pPr>
            <w:r w:rsidRPr="00137DAA">
              <w:rPr>
                <w:color w:val="FF0000"/>
                <w:sz w:val="24"/>
                <w:szCs w:val="24"/>
              </w:rPr>
              <w:t xml:space="preserve">Kiran Banati – </w:t>
            </w:r>
            <w:r w:rsidRPr="00137DAA">
              <w:rPr>
                <w:sz w:val="24"/>
                <w:szCs w:val="24"/>
              </w:rPr>
              <w:t xml:space="preserve">Take a lead on organising engagement events for the Transition Subgroup.  </w:t>
            </w:r>
          </w:p>
        </w:tc>
        <w:tc>
          <w:tcPr>
            <w:tcW w:w="1788" w:type="dxa"/>
          </w:tcPr>
          <w:p w:rsidR="0077008F" w:rsidRDefault="0077008F" w:rsidP="0077008F">
            <w:pPr>
              <w:rPr>
                <w:rFonts w:ascii="Corbel" w:hAnsi="Corbel"/>
              </w:rPr>
            </w:pPr>
          </w:p>
          <w:p w:rsidR="0077008F" w:rsidRDefault="0077008F" w:rsidP="0077008F">
            <w:pPr>
              <w:jc w:val="center"/>
            </w:pPr>
            <w:r w:rsidRPr="00C44877">
              <w:rPr>
                <w:rFonts w:ascii="Corbel" w:hAnsi="Corbel"/>
              </w:rPr>
              <w:t>22</w:t>
            </w:r>
            <w:r w:rsidRPr="00C44877">
              <w:rPr>
                <w:rFonts w:ascii="Corbel" w:hAnsi="Corbel"/>
                <w:vertAlign w:val="superscript"/>
              </w:rPr>
              <w:t>nd</w:t>
            </w:r>
            <w:r w:rsidRPr="00C44877">
              <w:rPr>
                <w:rFonts w:ascii="Corbel" w:hAnsi="Corbel"/>
              </w:rPr>
              <w:t xml:space="preserve"> May</w:t>
            </w:r>
          </w:p>
        </w:tc>
        <w:tc>
          <w:tcPr>
            <w:tcW w:w="1463" w:type="dxa"/>
          </w:tcPr>
          <w:p w:rsidR="0077008F" w:rsidRPr="00BF6B5E" w:rsidRDefault="001F6DAE" w:rsidP="0077008F">
            <w:pPr>
              <w:ind w:left="-60"/>
              <w:jc w:val="center"/>
              <w:rPr>
                <w:rFonts w:ascii="Corbel" w:hAnsi="Corbel"/>
              </w:rPr>
            </w:pPr>
            <w:r>
              <w:rPr>
                <w:rFonts w:ascii="Corbel" w:hAnsi="Corbel"/>
              </w:rPr>
              <w:t>Ongoing</w:t>
            </w:r>
          </w:p>
        </w:tc>
      </w:tr>
      <w:tr w:rsidR="0077008F" w:rsidRPr="00BF6B5E" w:rsidTr="0077008F">
        <w:trPr>
          <w:trHeight w:val="221"/>
        </w:trPr>
        <w:tc>
          <w:tcPr>
            <w:tcW w:w="4334" w:type="dxa"/>
          </w:tcPr>
          <w:p w:rsidR="0077008F" w:rsidRPr="00137DAA" w:rsidRDefault="0077008F" w:rsidP="0077008F">
            <w:pPr>
              <w:rPr>
                <w:sz w:val="24"/>
                <w:szCs w:val="24"/>
              </w:rPr>
            </w:pPr>
            <w:r w:rsidRPr="00137DAA">
              <w:rPr>
                <w:color w:val="FF0000"/>
                <w:sz w:val="24"/>
                <w:szCs w:val="24"/>
              </w:rPr>
              <w:lastRenderedPageBreak/>
              <w:t xml:space="preserve">Victoria – </w:t>
            </w:r>
            <w:r w:rsidRPr="00137DAA">
              <w:rPr>
                <w:sz w:val="24"/>
                <w:szCs w:val="24"/>
              </w:rPr>
              <w:t>Set up meetings which are purely focused on membership of the Board and the Boards priorities.</w:t>
            </w:r>
          </w:p>
        </w:tc>
        <w:tc>
          <w:tcPr>
            <w:tcW w:w="1788" w:type="dxa"/>
          </w:tcPr>
          <w:p w:rsidR="0077008F" w:rsidRDefault="0077008F" w:rsidP="0077008F">
            <w:pPr>
              <w:rPr>
                <w:rFonts w:ascii="Corbel" w:hAnsi="Corbel"/>
              </w:rPr>
            </w:pPr>
          </w:p>
          <w:p w:rsidR="0077008F" w:rsidRDefault="0077008F" w:rsidP="0077008F">
            <w:pPr>
              <w:jc w:val="center"/>
            </w:pPr>
            <w:r w:rsidRPr="00C44877">
              <w:rPr>
                <w:rFonts w:ascii="Corbel" w:hAnsi="Corbel"/>
              </w:rPr>
              <w:t>22</w:t>
            </w:r>
            <w:r w:rsidRPr="00C44877">
              <w:rPr>
                <w:rFonts w:ascii="Corbel" w:hAnsi="Corbel"/>
                <w:vertAlign w:val="superscript"/>
              </w:rPr>
              <w:t>nd</w:t>
            </w:r>
            <w:r w:rsidRPr="00C44877">
              <w:rPr>
                <w:rFonts w:ascii="Corbel" w:hAnsi="Corbel"/>
              </w:rPr>
              <w:t xml:space="preserve"> May</w:t>
            </w:r>
          </w:p>
        </w:tc>
        <w:tc>
          <w:tcPr>
            <w:tcW w:w="1463" w:type="dxa"/>
          </w:tcPr>
          <w:p w:rsidR="0077008F" w:rsidRPr="00BF6B5E" w:rsidRDefault="001F6DAE" w:rsidP="0077008F">
            <w:pPr>
              <w:ind w:left="-60"/>
              <w:jc w:val="center"/>
              <w:rPr>
                <w:rFonts w:ascii="Corbel" w:hAnsi="Corbel"/>
              </w:rPr>
            </w:pPr>
            <w:r>
              <w:rPr>
                <w:rFonts w:ascii="Corbel" w:hAnsi="Corbel"/>
              </w:rPr>
              <w:t>Complete</w:t>
            </w:r>
          </w:p>
        </w:tc>
      </w:tr>
      <w:tr w:rsidR="0077008F" w:rsidRPr="00BF6B5E" w:rsidTr="0077008F">
        <w:trPr>
          <w:trHeight w:val="221"/>
        </w:trPr>
        <w:tc>
          <w:tcPr>
            <w:tcW w:w="4334" w:type="dxa"/>
          </w:tcPr>
          <w:p w:rsidR="0077008F" w:rsidRPr="00137DAA" w:rsidRDefault="0077008F" w:rsidP="0077008F">
            <w:pPr>
              <w:rPr>
                <w:sz w:val="24"/>
                <w:szCs w:val="24"/>
              </w:rPr>
            </w:pPr>
            <w:r w:rsidRPr="00137DAA">
              <w:rPr>
                <w:color w:val="FF0000"/>
                <w:sz w:val="24"/>
                <w:szCs w:val="24"/>
              </w:rPr>
              <w:t xml:space="preserve">Victoria – </w:t>
            </w:r>
            <w:r w:rsidRPr="00137DAA">
              <w:rPr>
                <w:sz w:val="24"/>
                <w:szCs w:val="24"/>
              </w:rPr>
              <w:t>Circulate DASP Flow charts for sign off</w:t>
            </w:r>
          </w:p>
        </w:tc>
        <w:tc>
          <w:tcPr>
            <w:tcW w:w="1788" w:type="dxa"/>
          </w:tcPr>
          <w:p w:rsidR="0077008F" w:rsidRDefault="0077008F" w:rsidP="0077008F">
            <w:pPr>
              <w:jc w:val="center"/>
            </w:pPr>
            <w:r w:rsidRPr="00C44877">
              <w:rPr>
                <w:rFonts w:ascii="Corbel" w:hAnsi="Corbel"/>
              </w:rPr>
              <w:t>22</w:t>
            </w:r>
            <w:r w:rsidRPr="00C44877">
              <w:rPr>
                <w:rFonts w:ascii="Corbel" w:hAnsi="Corbel"/>
                <w:vertAlign w:val="superscript"/>
              </w:rPr>
              <w:t>nd</w:t>
            </w:r>
            <w:r w:rsidRPr="00C44877">
              <w:rPr>
                <w:rFonts w:ascii="Corbel" w:hAnsi="Corbel"/>
              </w:rPr>
              <w:t xml:space="preserve"> May</w:t>
            </w:r>
          </w:p>
        </w:tc>
        <w:tc>
          <w:tcPr>
            <w:tcW w:w="1463" w:type="dxa"/>
          </w:tcPr>
          <w:p w:rsidR="0077008F" w:rsidRPr="00BF6B5E" w:rsidRDefault="001F6DAE" w:rsidP="0077008F">
            <w:pPr>
              <w:ind w:left="-60"/>
              <w:jc w:val="center"/>
              <w:rPr>
                <w:rFonts w:ascii="Corbel" w:hAnsi="Corbel"/>
              </w:rPr>
            </w:pPr>
            <w:r>
              <w:rPr>
                <w:rFonts w:ascii="Corbel" w:hAnsi="Corbel"/>
              </w:rPr>
              <w:t>Complete</w:t>
            </w:r>
          </w:p>
        </w:tc>
      </w:tr>
      <w:tr w:rsidR="0077008F" w:rsidRPr="00BF6B5E" w:rsidTr="0077008F">
        <w:trPr>
          <w:trHeight w:val="221"/>
        </w:trPr>
        <w:tc>
          <w:tcPr>
            <w:tcW w:w="4334" w:type="dxa"/>
          </w:tcPr>
          <w:p w:rsidR="0077008F" w:rsidRPr="00365412" w:rsidRDefault="0077008F" w:rsidP="0077008F">
            <w:pPr>
              <w:rPr>
                <w:sz w:val="24"/>
                <w:szCs w:val="24"/>
              </w:rPr>
            </w:pPr>
            <w:r w:rsidRPr="00365412">
              <w:rPr>
                <w:color w:val="FF0000"/>
                <w:sz w:val="24"/>
                <w:szCs w:val="24"/>
              </w:rPr>
              <w:t xml:space="preserve">Victoria – </w:t>
            </w:r>
            <w:r w:rsidRPr="00365412">
              <w:rPr>
                <w:sz w:val="24"/>
                <w:szCs w:val="24"/>
              </w:rPr>
              <w:t xml:space="preserve">Circulate Family Carers Group newsletter </w:t>
            </w:r>
          </w:p>
        </w:tc>
        <w:tc>
          <w:tcPr>
            <w:tcW w:w="1788" w:type="dxa"/>
          </w:tcPr>
          <w:p w:rsidR="0077008F" w:rsidRDefault="0077008F" w:rsidP="0077008F">
            <w:pPr>
              <w:jc w:val="center"/>
            </w:pPr>
            <w:r w:rsidRPr="00C44877">
              <w:rPr>
                <w:rFonts w:ascii="Corbel" w:hAnsi="Corbel"/>
              </w:rPr>
              <w:t>22</w:t>
            </w:r>
            <w:r w:rsidRPr="00C44877">
              <w:rPr>
                <w:rFonts w:ascii="Corbel" w:hAnsi="Corbel"/>
                <w:vertAlign w:val="superscript"/>
              </w:rPr>
              <w:t>nd</w:t>
            </w:r>
            <w:r w:rsidRPr="00C44877">
              <w:rPr>
                <w:rFonts w:ascii="Corbel" w:hAnsi="Corbel"/>
              </w:rPr>
              <w:t xml:space="preserve"> May</w:t>
            </w:r>
          </w:p>
        </w:tc>
        <w:tc>
          <w:tcPr>
            <w:tcW w:w="1463" w:type="dxa"/>
          </w:tcPr>
          <w:p w:rsidR="0077008F" w:rsidRPr="00BF6B5E" w:rsidRDefault="001F6DAE" w:rsidP="001F6DAE">
            <w:pPr>
              <w:ind w:left="-60"/>
              <w:rPr>
                <w:rFonts w:ascii="Corbel" w:hAnsi="Corbel"/>
              </w:rPr>
            </w:pPr>
            <w:r>
              <w:rPr>
                <w:rFonts w:ascii="Corbel" w:hAnsi="Corbel"/>
              </w:rPr>
              <w:t xml:space="preserve">Outstanding </w:t>
            </w:r>
          </w:p>
        </w:tc>
      </w:tr>
      <w:tr w:rsidR="0077008F" w:rsidRPr="00A81F17" w:rsidTr="0077008F">
        <w:trPr>
          <w:trHeight w:val="221"/>
        </w:trPr>
        <w:tc>
          <w:tcPr>
            <w:tcW w:w="4334" w:type="dxa"/>
          </w:tcPr>
          <w:p w:rsidR="0077008F" w:rsidRPr="00365412" w:rsidRDefault="0077008F" w:rsidP="0077008F">
            <w:pPr>
              <w:rPr>
                <w:sz w:val="24"/>
                <w:szCs w:val="24"/>
              </w:rPr>
            </w:pPr>
            <w:r w:rsidRPr="00365412">
              <w:rPr>
                <w:color w:val="FF0000"/>
                <w:sz w:val="24"/>
                <w:szCs w:val="24"/>
              </w:rPr>
              <w:t xml:space="preserve">Victoria – </w:t>
            </w:r>
            <w:r w:rsidRPr="00365412">
              <w:rPr>
                <w:sz w:val="24"/>
                <w:szCs w:val="24"/>
              </w:rPr>
              <w:t xml:space="preserve">Circulate NAS Links </w:t>
            </w:r>
          </w:p>
        </w:tc>
        <w:tc>
          <w:tcPr>
            <w:tcW w:w="1788" w:type="dxa"/>
          </w:tcPr>
          <w:p w:rsidR="0077008F" w:rsidRDefault="0077008F" w:rsidP="0077008F">
            <w:pPr>
              <w:jc w:val="center"/>
            </w:pPr>
            <w:r w:rsidRPr="00C44877">
              <w:rPr>
                <w:rFonts w:ascii="Corbel" w:hAnsi="Corbel"/>
              </w:rPr>
              <w:t>22</w:t>
            </w:r>
            <w:r w:rsidRPr="00C44877">
              <w:rPr>
                <w:rFonts w:ascii="Corbel" w:hAnsi="Corbel"/>
                <w:vertAlign w:val="superscript"/>
              </w:rPr>
              <w:t>nd</w:t>
            </w:r>
            <w:r w:rsidRPr="00C44877">
              <w:rPr>
                <w:rFonts w:ascii="Corbel" w:hAnsi="Corbel"/>
              </w:rPr>
              <w:t xml:space="preserve"> May</w:t>
            </w:r>
          </w:p>
        </w:tc>
        <w:tc>
          <w:tcPr>
            <w:tcW w:w="1463" w:type="dxa"/>
          </w:tcPr>
          <w:p w:rsidR="0077008F" w:rsidRPr="00193BE4" w:rsidRDefault="001F6DAE" w:rsidP="0077008F">
            <w:pPr>
              <w:ind w:left="-60"/>
              <w:jc w:val="center"/>
              <w:rPr>
                <w:rFonts w:ascii="Corbel" w:hAnsi="Corbel"/>
              </w:rPr>
            </w:pPr>
            <w:r>
              <w:rPr>
                <w:rFonts w:ascii="Corbel" w:hAnsi="Corbel"/>
              </w:rPr>
              <w:t>Complete</w:t>
            </w:r>
          </w:p>
        </w:tc>
      </w:tr>
    </w:tbl>
    <w:p w:rsidR="00DE0AEB" w:rsidRPr="0077008F" w:rsidRDefault="00DE0AEB" w:rsidP="0077008F">
      <w:pPr>
        <w:rPr>
          <w:sz w:val="24"/>
          <w:szCs w:val="24"/>
        </w:rPr>
      </w:pPr>
    </w:p>
    <w:sectPr w:rsidR="00DE0AEB" w:rsidRPr="007700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518" w:rsidRDefault="006E5518" w:rsidP="006E5518">
      <w:pPr>
        <w:spacing w:after="0" w:line="240" w:lineRule="auto"/>
      </w:pPr>
      <w:r>
        <w:separator/>
      </w:r>
    </w:p>
  </w:endnote>
  <w:endnote w:type="continuationSeparator" w:id="0">
    <w:p w:rsidR="006E5518" w:rsidRDefault="006E5518" w:rsidP="006E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518" w:rsidRDefault="006E5518" w:rsidP="006E5518">
      <w:pPr>
        <w:spacing w:after="0" w:line="240" w:lineRule="auto"/>
      </w:pPr>
      <w:r>
        <w:separator/>
      </w:r>
    </w:p>
  </w:footnote>
  <w:footnote w:type="continuationSeparator" w:id="0">
    <w:p w:rsidR="006E5518" w:rsidRDefault="006E5518" w:rsidP="006E5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3940"/>
    <w:multiLevelType w:val="hybridMultilevel"/>
    <w:tmpl w:val="F462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D5A97"/>
    <w:multiLevelType w:val="hybridMultilevel"/>
    <w:tmpl w:val="224034C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57384296"/>
    <w:multiLevelType w:val="hybridMultilevel"/>
    <w:tmpl w:val="660A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0738AD"/>
    <w:multiLevelType w:val="hybridMultilevel"/>
    <w:tmpl w:val="095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2A"/>
    <w:rsid w:val="000F502B"/>
    <w:rsid w:val="0011240F"/>
    <w:rsid w:val="001F6DAE"/>
    <w:rsid w:val="00293043"/>
    <w:rsid w:val="002B42F1"/>
    <w:rsid w:val="003045B6"/>
    <w:rsid w:val="0033419C"/>
    <w:rsid w:val="005F0E2A"/>
    <w:rsid w:val="006508F1"/>
    <w:rsid w:val="00692F5C"/>
    <w:rsid w:val="006A4218"/>
    <w:rsid w:val="006E5518"/>
    <w:rsid w:val="0077008F"/>
    <w:rsid w:val="009F127B"/>
    <w:rsid w:val="00A64F71"/>
    <w:rsid w:val="00B434FF"/>
    <w:rsid w:val="00B9559B"/>
    <w:rsid w:val="00C3224D"/>
    <w:rsid w:val="00CB2E99"/>
    <w:rsid w:val="00CD448C"/>
    <w:rsid w:val="00D70320"/>
    <w:rsid w:val="00DC30C6"/>
    <w:rsid w:val="00DE0AEB"/>
    <w:rsid w:val="00EF1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D72D3-D227-4B71-9747-B62B9D16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518"/>
  </w:style>
  <w:style w:type="paragraph" w:styleId="Footer">
    <w:name w:val="footer"/>
    <w:basedOn w:val="Normal"/>
    <w:link w:val="FooterChar"/>
    <w:uiPriority w:val="99"/>
    <w:unhideWhenUsed/>
    <w:rsid w:val="006E5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518"/>
  </w:style>
  <w:style w:type="paragraph" w:styleId="ListParagraph">
    <w:name w:val="List Paragraph"/>
    <w:basedOn w:val="Normal"/>
    <w:uiPriority w:val="34"/>
    <w:qFormat/>
    <w:rsid w:val="00A64F71"/>
    <w:pPr>
      <w:ind w:left="720"/>
      <w:contextualSpacing/>
    </w:pPr>
  </w:style>
  <w:style w:type="character" w:styleId="Hyperlink">
    <w:name w:val="Hyperlink"/>
    <w:basedOn w:val="DefaultParagraphFont"/>
    <w:uiPriority w:val="99"/>
    <w:unhideWhenUsed/>
    <w:rsid w:val="006508F1"/>
    <w:rPr>
      <w:color w:val="0563C1" w:themeColor="hyperlink"/>
      <w:u w:val="single"/>
    </w:rPr>
  </w:style>
  <w:style w:type="character" w:styleId="FollowedHyperlink">
    <w:name w:val="FollowedHyperlink"/>
    <w:basedOn w:val="DefaultParagraphFont"/>
    <w:uiPriority w:val="99"/>
    <w:semiHidden/>
    <w:unhideWhenUsed/>
    <w:rsid w:val="00334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ism.org.uk/about/strategy/2010-strategy/autism-partnership-boards.aspx" TargetMode="External"/><Relationship Id="rId3" Type="http://schemas.openxmlformats.org/officeDocument/2006/relationships/settings" Target="settings.xml"/><Relationship Id="rId7" Type="http://schemas.openxmlformats.org/officeDocument/2006/relationships/hyperlink" Target="http://www.autism.org.uk/about/strategy/practical-guidan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Wilson, Victoria</cp:lastModifiedBy>
  <cp:revision>16</cp:revision>
  <dcterms:created xsi:type="dcterms:W3CDTF">2018-04-05T09:40:00Z</dcterms:created>
  <dcterms:modified xsi:type="dcterms:W3CDTF">2018-05-03T11:19:00Z</dcterms:modified>
</cp:coreProperties>
</file>